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76D11" w14:textId="77777777" w:rsidR="00AF6403" w:rsidRDefault="00AF6403" w:rsidP="005F0A7E">
      <w:pPr>
        <w:spacing w:after="0"/>
        <w:jc w:val="center"/>
        <w:rPr>
          <w:b/>
          <w:sz w:val="32"/>
          <w:szCs w:val="32"/>
        </w:rPr>
      </w:pPr>
      <w:r w:rsidRPr="00AF6403">
        <w:rPr>
          <w:b/>
          <w:sz w:val="32"/>
          <w:szCs w:val="32"/>
        </w:rPr>
        <w:t>Voortgangsrapportage</w:t>
      </w:r>
    </w:p>
    <w:p w14:paraId="7B9FED8E" w14:textId="65EF5401" w:rsidR="00AF6403" w:rsidRPr="005F0A7E" w:rsidRDefault="005F0A7E" w:rsidP="005F0A7E">
      <w:pPr>
        <w:spacing w:after="0"/>
        <w:jc w:val="center"/>
      </w:pPr>
      <w:r w:rsidRPr="005F0A7E">
        <w:t xml:space="preserve">Waalwijk, </w:t>
      </w:r>
      <w:r w:rsidR="001757CB">
        <w:t>2</w:t>
      </w:r>
      <w:r w:rsidR="00D11BE0">
        <w:t>5</w:t>
      </w:r>
      <w:r w:rsidR="001757CB">
        <w:t xml:space="preserve"> maart 2021</w:t>
      </w:r>
    </w:p>
    <w:p w14:paraId="41694C42" w14:textId="77777777" w:rsidR="005F0A7E" w:rsidRPr="005F0A7E" w:rsidRDefault="005F0A7E" w:rsidP="005F0A7E">
      <w:pPr>
        <w:spacing w:after="0"/>
        <w:jc w:val="center"/>
        <w:rPr>
          <w:b/>
          <w:sz w:val="20"/>
          <w:szCs w:val="20"/>
        </w:rPr>
      </w:pPr>
    </w:p>
    <w:p w14:paraId="7F9F5A90" w14:textId="77777777" w:rsidR="00566988" w:rsidRDefault="00AF6403">
      <w:r>
        <w:t xml:space="preserve">Project: </w:t>
      </w:r>
      <w:r>
        <w:tab/>
      </w:r>
      <w:r w:rsidR="00110FB5">
        <w:t>Gebiedsontwikkeling Oostelijke Langstraat (GOL</w:t>
      </w:r>
    </w:p>
    <w:p w14:paraId="1F62374F" w14:textId="77777777" w:rsidR="00641F5E" w:rsidRDefault="00641F5E" w:rsidP="00DD2124">
      <w:pPr>
        <w:ind w:left="1410" w:hanging="1410"/>
      </w:pPr>
      <w:r>
        <w:t>Fase:</w:t>
      </w:r>
      <w:r>
        <w:tab/>
      </w:r>
      <w:r>
        <w:tab/>
      </w:r>
      <w:r w:rsidR="00110FB5">
        <w:t>Voorbereiding door aannemer</w:t>
      </w:r>
    </w:p>
    <w:p w14:paraId="15F081E2" w14:textId="77777777" w:rsidR="00D84B83" w:rsidRPr="00154957" w:rsidRDefault="00D84B83" w:rsidP="00DD2124">
      <w:pPr>
        <w:ind w:left="1410" w:hanging="1410"/>
      </w:pPr>
      <w:r>
        <w:t>Doel:</w:t>
      </w:r>
      <w:r>
        <w:tab/>
      </w:r>
      <w:r w:rsidR="00154957">
        <w:rPr>
          <w:rFonts w:eastAsia="Times New Roman" w:cstheme="minorHAnsi"/>
          <w:bdr w:val="none" w:sz="0" w:space="0" w:color="auto" w:frame="1"/>
          <w:lang w:eastAsia="nl-NL"/>
        </w:rPr>
        <w:t xml:space="preserve">Het </w:t>
      </w:r>
      <w:r w:rsidR="00154957" w:rsidRPr="00154957">
        <w:rPr>
          <w:rFonts w:eastAsia="Times New Roman" w:cstheme="minorHAnsi"/>
          <w:bdr w:val="none" w:sz="0" w:space="0" w:color="auto" w:frame="1"/>
          <w:lang w:eastAsia="nl-NL"/>
        </w:rPr>
        <w:t xml:space="preserve"> verbeter</w:t>
      </w:r>
      <w:r w:rsidR="00154957">
        <w:rPr>
          <w:rFonts w:eastAsia="Times New Roman" w:cstheme="minorHAnsi"/>
          <w:bdr w:val="none" w:sz="0" w:space="0" w:color="auto" w:frame="1"/>
          <w:lang w:eastAsia="nl-NL"/>
        </w:rPr>
        <w:t>en van</w:t>
      </w:r>
      <w:r w:rsidR="00154957" w:rsidRPr="00154957">
        <w:rPr>
          <w:rFonts w:eastAsia="Times New Roman" w:cstheme="minorHAnsi"/>
          <w:bdr w:val="none" w:sz="0" w:space="0" w:color="auto" w:frame="1"/>
          <w:lang w:eastAsia="nl-NL"/>
        </w:rPr>
        <w:t xml:space="preserve"> de veiligheid rondom gevaarlijke op- en afritten en meer doorstroming van het verkeer op de A59</w:t>
      </w:r>
      <w:r w:rsidR="00154957">
        <w:rPr>
          <w:rFonts w:eastAsia="Times New Roman" w:cstheme="minorHAnsi"/>
          <w:bdr w:val="none" w:sz="0" w:space="0" w:color="auto" w:frame="1"/>
          <w:lang w:eastAsia="nl-NL"/>
        </w:rPr>
        <w:t xml:space="preserve"> met </w:t>
      </w:r>
      <w:r w:rsidR="00154957" w:rsidRPr="00154957">
        <w:rPr>
          <w:rFonts w:eastAsia="Times New Roman" w:cstheme="minorHAnsi"/>
          <w:bdr w:val="none" w:sz="0" w:space="0" w:color="auto" w:frame="1"/>
          <w:lang w:eastAsia="nl-NL"/>
        </w:rPr>
        <w:t xml:space="preserve">behoud van </w:t>
      </w:r>
      <w:r w:rsidR="00154957">
        <w:rPr>
          <w:rFonts w:eastAsia="Times New Roman" w:cstheme="minorHAnsi"/>
          <w:bdr w:val="none" w:sz="0" w:space="0" w:color="auto" w:frame="1"/>
          <w:lang w:eastAsia="nl-NL"/>
        </w:rPr>
        <w:t xml:space="preserve">de </w:t>
      </w:r>
      <w:r w:rsidR="00154957" w:rsidRPr="00154957">
        <w:rPr>
          <w:rFonts w:eastAsia="Times New Roman" w:cstheme="minorHAnsi"/>
          <w:bdr w:val="none" w:sz="0" w:space="0" w:color="auto" w:frame="1"/>
          <w:lang w:eastAsia="nl-NL"/>
        </w:rPr>
        <w:t>natuur, meer mogelijkheden voor recreatie en economische activiteiten en een betere leefbaarheid in de kernen</w:t>
      </w:r>
    </w:p>
    <w:p w14:paraId="46B366B6" w14:textId="77777777" w:rsidR="00C336EA" w:rsidRDefault="00AF6403">
      <w:r>
        <w:t>Opsteller:</w:t>
      </w:r>
      <w:r>
        <w:tab/>
      </w:r>
      <w:r w:rsidR="00110FB5">
        <w:t>Frank van Kuik</w:t>
      </w:r>
      <w:r w:rsidR="00EC245A">
        <w:t>, projectleider</w:t>
      </w:r>
    </w:p>
    <w:p w14:paraId="6B782304" w14:textId="77777777" w:rsidR="007313E8" w:rsidRDefault="007313E8"/>
    <w:p w14:paraId="7AE4348E" w14:textId="77777777" w:rsidR="00D67DFF" w:rsidRPr="00AF6403" w:rsidRDefault="00AF6403" w:rsidP="00D67DFF">
      <w:pPr>
        <w:spacing w:after="0"/>
        <w:rPr>
          <w:b/>
        </w:rPr>
      </w:pPr>
      <w:r w:rsidRPr="00AF6403">
        <w:rPr>
          <w:b/>
        </w:rPr>
        <w:t>Vooraf</w:t>
      </w:r>
      <w:r w:rsidR="00EC245A">
        <w:rPr>
          <w:b/>
        </w:rPr>
        <w:t>, leeswijzer</w:t>
      </w:r>
    </w:p>
    <w:p w14:paraId="1FC11F34" w14:textId="77777777" w:rsidR="00D67DFF" w:rsidRDefault="00D67DFF" w:rsidP="00D67DFF">
      <w:pPr>
        <w:spacing w:after="0"/>
      </w:pPr>
      <w:r>
        <w:t>Voorliggende voortgangsrapportage is samengesteld ten behoeve van de projectbeheersing door de gemeenteraad</w:t>
      </w:r>
      <w:r w:rsidR="00AC2694">
        <w:t>. Met deze rapportage</w:t>
      </w:r>
      <w:r w:rsidR="00EC245A">
        <w:t xml:space="preserve"> kan de gemeenteraad vaststellen en controleren of het project </w:t>
      </w:r>
      <w:r w:rsidR="00225CE1">
        <w:t xml:space="preserve">GOL </w:t>
      </w:r>
      <w:r w:rsidR="001C108A">
        <w:t xml:space="preserve"> </w:t>
      </w:r>
      <w:r w:rsidR="00EC245A">
        <w:t xml:space="preserve">binnen de door haar vastgestelde beleidskaders ten uitvoer wordt gebracht. </w:t>
      </w:r>
    </w:p>
    <w:p w14:paraId="4ED6CBDB" w14:textId="77777777" w:rsidR="001C108A" w:rsidRDefault="001C108A" w:rsidP="001C108A">
      <w:pPr>
        <w:spacing w:after="0"/>
      </w:pPr>
    </w:p>
    <w:p w14:paraId="215772B8" w14:textId="77777777" w:rsidR="00EF06C8" w:rsidRDefault="00854217" w:rsidP="001C108A">
      <w:pPr>
        <w:spacing w:after="0"/>
      </w:pPr>
      <w:r>
        <w:t xml:space="preserve">Het GOL is  een gemeentegrens overstijgend </w:t>
      </w:r>
      <w:r w:rsidR="00C060B2">
        <w:t>integraal</w:t>
      </w:r>
      <w:r>
        <w:t xml:space="preserve"> project.  Gemeente Waalwijk, Heusden en waterschap Aa-en Maas zijn samen met de provincie risicodragende partijen. </w:t>
      </w:r>
      <w:r w:rsidR="00C060B2">
        <w:t xml:space="preserve">Er is gekozen voor een geïntegreerd contractvorm (UAV-GC) </w:t>
      </w:r>
      <w:r w:rsidR="00EF06C8">
        <w:t xml:space="preserve">met </w:t>
      </w:r>
      <w:r w:rsidR="00C060B2">
        <w:t>een aanbesteding op prijs/kwaliteit. Inmiddels is d</w:t>
      </w:r>
      <w:r>
        <w:t>e aanneme</w:t>
      </w:r>
      <w:r w:rsidR="00C060B2">
        <w:t xml:space="preserve">rscombinatie Mourik/Besix geselecteerd. De combinatie is </w:t>
      </w:r>
      <w:r>
        <w:t xml:space="preserve">verantwoordelijk  voor het ontwerp en de realisatie van het project. </w:t>
      </w:r>
    </w:p>
    <w:p w14:paraId="32D8AE5F" w14:textId="77777777" w:rsidR="00EF06C8" w:rsidRDefault="00EF06C8" w:rsidP="001C108A">
      <w:pPr>
        <w:spacing w:after="0"/>
      </w:pPr>
    </w:p>
    <w:p w14:paraId="3DA64ED3" w14:textId="77777777" w:rsidR="00EF06C8" w:rsidRPr="00EF06C8" w:rsidRDefault="00C060B2" w:rsidP="00EF06C8">
      <w:pPr>
        <w:spacing w:after="0"/>
        <w:rPr>
          <w:rFonts w:cstheme="minorHAnsi"/>
        </w:rPr>
      </w:pPr>
      <w:r>
        <w:t>De</w:t>
      </w:r>
      <w:r w:rsidR="004E33EF">
        <w:t xml:space="preserve"> Provincie Noord Brabant</w:t>
      </w:r>
      <w:r>
        <w:t xml:space="preserve"> is opdrachtgever en  stuurt het project aan.</w:t>
      </w:r>
      <w:r w:rsidR="00EF06C8">
        <w:t xml:space="preserve"> </w:t>
      </w:r>
      <w:r w:rsidR="00EF06C8" w:rsidRPr="00EF06C8">
        <w:rPr>
          <w:rFonts w:cstheme="minorHAnsi"/>
        </w:rPr>
        <w:t xml:space="preserve">Samen met de </w:t>
      </w:r>
      <w:r w:rsidR="00EF06C8">
        <w:rPr>
          <w:rFonts w:cstheme="minorHAnsi"/>
        </w:rPr>
        <w:t>stakeholders is er een ambtelijke (ABG) en politieke (stuurgroep) rapportagelijn opgezet.</w:t>
      </w:r>
    </w:p>
    <w:p w14:paraId="302AC61A" w14:textId="77777777" w:rsidR="001C108A" w:rsidRDefault="001C108A" w:rsidP="00D67DFF">
      <w:pPr>
        <w:spacing w:after="0"/>
      </w:pPr>
    </w:p>
    <w:p w14:paraId="73FE97ED" w14:textId="77777777" w:rsidR="00AF6403" w:rsidRDefault="00671D06" w:rsidP="00D67DFF">
      <w:pPr>
        <w:spacing w:after="0"/>
      </w:pPr>
      <w:r>
        <w:t>Deze</w:t>
      </w:r>
      <w:r w:rsidR="00AF6403">
        <w:t xml:space="preserve"> voortgangsrap</w:t>
      </w:r>
      <w:r w:rsidR="005205C1">
        <w:t>portage is samengesteld aan de hand</w:t>
      </w:r>
      <w:r w:rsidR="00AF6403">
        <w:t xml:space="preserve"> van de </w:t>
      </w:r>
      <w:r w:rsidR="001C108A">
        <w:t>GROTICK-</w:t>
      </w:r>
      <w:r w:rsidR="00AF6403">
        <w:t>methodiek voor projectbeheersing. De</w:t>
      </w:r>
      <w:r w:rsidR="005205C1">
        <w:t xml:space="preserve"> letters van het woord GROTICK</w:t>
      </w:r>
      <w:r w:rsidR="00AF6403">
        <w:t xml:space="preserve"> staan voor de verschillende aspecten waaraan in de voortgangsrapportage aandacht wordt besteed. Deze aspecten zijn respectievelijk:</w:t>
      </w:r>
    </w:p>
    <w:p w14:paraId="0917600E" w14:textId="77777777" w:rsidR="00AF6403" w:rsidRDefault="00AF6403" w:rsidP="00D67DFF">
      <w:pPr>
        <w:pStyle w:val="Lijstalinea"/>
        <w:numPr>
          <w:ilvl w:val="0"/>
          <w:numId w:val="1"/>
        </w:numPr>
        <w:spacing w:after="0"/>
      </w:pPr>
      <w:r>
        <w:t>Geld</w:t>
      </w:r>
      <w:r w:rsidR="00D67DFF">
        <w:t>.</w:t>
      </w:r>
    </w:p>
    <w:p w14:paraId="60CC9D6D" w14:textId="77777777" w:rsidR="00AF6403" w:rsidRDefault="00AF6403" w:rsidP="00D67DFF">
      <w:pPr>
        <w:pStyle w:val="Lijstalinea"/>
        <w:numPr>
          <w:ilvl w:val="0"/>
          <w:numId w:val="1"/>
        </w:numPr>
        <w:spacing w:after="0"/>
      </w:pPr>
      <w:r>
        <w:t>Risico's</w:t>
      </w:r>
      <w:r w:rsidR="00D67DFF">
        <w:t>.</w:t>
      </w:r>
    </w:p>
    <w:p w14:paraId="24C03C1C" w14:textId="77777777" w:rsidR="00AF6403" w:rsidRDefault="00AF6403" w:rsidP="00D67DFF">
      <w:pPr>
        <w:pStyle w:val="Lijstalinea"/>
        <w:numPr>
          <w:ilvl w:val="0"/>
          <w:numId w:val="1"/>
        </w:numPr>
        <w:spacing w:after="0"/>
      </w:pPr>
      <w:r>
        <w:t>Organisatie</w:t>
      </w:r>
      <w:r w:rsidR="00D67DFF">
        <w:t>.</w:t>
      </w:r>
    </w:p>
    <w:p w14:paraId="7DCECC05" w14:textId="77777777" w:rsidR="00AF6403" w:rsidRDefault="00AF6403" w:rsidP="00D67DFF">
      <w:pPr>
        <w:pStyle w:val="Lijstalinea"/>
        <w:numPr>
          <w:ilvl w:val="0"/>
          <w:numId w:val="1"/>
        </w:numPr>
        <w:spacing w:after="0"/>
      </w:pPr>
      <w:r>
        <w:t>Tijd</w:t>
      </w:r>
      <w:r w:rsidR="00D67DFF">
        <w:t>.</w:t>
      </w:r>
    </w:p>
    <w:p w14:paraId="0175D175" w14:textId="77777777" w:rsidR="00AF6403" w:rsidRDefault="00AF6403" w:rsidP="00D67DFF">
      <w:pPr>
        <w:pStyle w:val="Lijstalinea"/>
        <w:numPr>
          <w:ilvl w:val="0"/>
          <w:numId w:val="1"/>
        </w:numPr>
        <w:spacing w:after="0"/>
      </w:pPr>
      <w:r>
        <w:t>Informatie</w:t>
      </w:r>
      <w:r w:rsidR="00D67DFF">
        <w:t>.</w:t>
      </w:r>
    </w:p>
    <w:p w14:paraId="1FF12FE0" w14:textId="77777777" w:rsidR="00AF6403" w:rsidRDefault="00AF6403" w:rsidP="00D67DFF">
      <w:pPr>
        <w:pStyle w:val="Lijstalinea"/>
        <w:numPr>
          <w:ilvl w:val="0"/>
          <w:numId w:val="1"/>
        </w:numPr>
        <w:spacing w:after="0"/>
      </w:pPr>
      <w:r>
        <w:t>Communicatie</w:t>
      </w:r>
      <w:r w:rsidR="00D67DFF">
        <w:t>.</w:t>
      </w:r>
    </w:p>
    <w:p w14:paraId="02C66AF6" w14:textId="77777777" w:rsidR="00AF6403" w:rsidRDefault="00AF6403" w:rsidP="00D67DFF">
      <w:pPr>
        <w:pStyle w:val="Lijstalinea"/>
        <w:numPr>
          <w:ilvl w:val="0"/>
          <w:numId w:val="1"/>
        </w:numPr>
        <w:spacing w:after="0"/>
      </w:pPr>
      <w:r>
        <w:t>Kwaliteit</w:t>
      </w:r>
      <w:r w:rsidR="00D67DFF">
        <w:t>.</w:t>
      </w:r>
    </w:p>
    <w:p w14:paraId="11022265" w14:textId="77777777" w:rsidR="00D67DFF" w:rsidRDefault="001A268D" w:rsidP="00D67DFF">
      <w:pPr>
        <w:spacing w:after="0"/>
      </w:pPr>
      <w:r>
        <w:t>Binnen de projectorganisatie zijn het dezelfde aspecten die worden bewaakt om daarmee maximaal zeker te stellen dat het project zich binnen</w:t>
      </w:r>
      <w:r w:rsidR="005F0A7E">
        <w:t xml:space="preserve"> de kaders ontwikkeld die door de Raad zijn aangegeven en die de projectorganisatie zichzelf ten doel heeft gesteld.</w:t>
      </w:r>
    </w:p>
    <w:p w14:paraId="19EE2F4F" w14:textId="77777777" w:rsidR="00EC245A" w:rsidRDefault="00EC245A" w:rsidP="00D67DFF">
      <w:pPr>
        <w:spacing w:after="0"/>
      </w:pPr>
    </w:p>
    <w:p w14:paraId="6199BBC8" w14:textId="77777777" w:rsidR="00B84295" w:rsidRDefault="005F0A7E" w:rsidP="00D67DFF">
      <w:pPr>
        <w:spacing w:after="0"/>
      </w:pPr>
      <w:r>
        <w:t>Hieronder wordt over elk van bovengenoemde GROTICK-aspecten verslag gedaan</w:t>
      </w:r>
      <w:r w:rsidR="00854217">
        <w:t>.</w:t>
      </w:r>
    </w:p>
    <w:p w14:paraId="61C5D430" w14:textId="77777777" w:rsidR="00225CE1" w:rsidRDefault="00225CE1" w:rsidP="00D67DFF">
      <w:pPr>
        <w:spacing w:after="0"/>
        <w:rPr>
          <w:b/>
        </w:rPr>
      </w:pPr>
    </w:p>
    <w:p w14:paraId="7D6A2693" w14:textId="77777777" w:rsidR="00185EAB" w:rsidRDefault="00185EAB" w:rsidP="00D67DFF">
      <w:pPr>
        <w:spacing w:after="0"/>
        <w:rPr>
          <w:b/>
        </w:rPr>
      </w:pPr>
    </w:p>
    <w:p w14:paraId="6C56E03E" w14:textId="77777777" w:rsidR="00185EAB" w:rsidRDefault="00185EAB" w:rsidP="00D67DFF">
      <w:pPr>
        <w:spacing w:after="0"/>
        <w:rPr>
          <w:b/>
        </w:rPr>
      </w:pPr>
    </w:p>
    <w:p w14:paraId="5BE59AB1" w14:textId="77777777" w:rsidR="00D67DFF" w:rsidRDefault="00225CE1" w:rsidP="00D67DFF">
      <w:pPr>
        <w:spacing w:after="0"/>
        <w:rPr>
          <w:b/>
        </w:rPr>
      </w:pPr>
      <w:r>
        <w:rPr>
          <w:b/>
        </w:rPr>
        <w:t>Geld</w:t>
      </w:r>
    </w:p>
    <w:p w14:paraId="126C4EFF" w14:textId="77777777" w:rsidR="00047EDC" w:rsidRDefault="00047EDC" w:rsidP="00047EDC">
      <w:pPr>
        <w:spacing w:after="0"/>
        <w:rPr>
          <w:bCs/>
        </w:rPr>
      </w:pPr>
      <w:r>
        <w:rPr>
          <w:bCs/>
        </w:rPr>
        <w:t>In de raadsvergadering van 14 april 2020 zijn door de raad de benodigde middelen voor het GOL beschikbaar gesteld.</w:t>
      </w:r>
    </w:p>
    <w:p w14:paraId="601F462E" w14:textId="77777777" w:rsidR="00047EDC" w:rsidRDefault="00047EDC" w:rsidP="00047EDC">
      <w:pPr>
        <w:spacing w:after="0"/>
        <w:rPr>
          <w:bCs/>
        </w:rPr>
      </w:pPr>
    </w:p>
    <w:p w14:paraId="5CAF52B6" w14:textId="47AB4E91" w:rsidR="00A272CE" w:rsidRPr="00A272CE" w:rsidRDefault="00A272CE" w:rsidP="00A272CE">
      <w:pPr>
        <w:rPr>
          <w:rFonts w:cstheme="minorHAnsi"/>
        </w:rPr>
      </w:pPr>
      <w:r w:rsidRPr="00A272CE">
        <w:rPr>
          <w:rFonts w:cstheme="minorHAnsi"/>
        </w:rPr>
        <w:t xml:space="preserve">De totale bijdrage van het GOL door de gemeente Waalwijk bedraagt € 26,6 mln. Hierop kunnen een bedrag voor nog te verrekenen kosten met de provincie en de waarde van de door de gemeente voor het project ingebrachte gronden in mindering worden gebracht. Daarnaast is op 14 november 2013 al een krediet van € 1,6 mln beschikbaar gesteld. Verder dient rekening te worden gehouden met een bedrag voor interne kosten tijdens de realisatiefase. </w:t>
      </w:r>
      <w:r>
        <w:rPr>
          <w:rFonts w:cstheme="minorHAnsi"/>
        </w:rPr>
        <w:t>Er is</w:t>
      </w:r>
      <w:r w:rsidRPr="00A272CE">
        <w:rPr>
          <w:rFonts w:cstheme="minorHAnsi"/>
        </w:rPr>
        <w:t xml:space="preserve"> een krediet beschikbaar </w:t>
      </w:r>
      <w:r>
        <w:rPr>
          <w:rFonts w:cstheme="minorHAnsi"/>
        </w:rPr>
        <w:t>gesteld</w:t>
      </w:r>
      <w:r w:rsidRPr="00A272CE">
        <w:rPr>
          <w:rFonts w:cstheme="minorHAnsi"/>
        </w:rPr>
        <w:t xml:space="preserve"> van €23.195.000.</w:t>
      </w:r>
      <w:r w:rsidR="00A16B69">
        <w:rPr>
          <w:rFonts w:cstheme="minorHAnsi"/>
        </w:rPr>
        <w:t xml:space="preserve"> </w:t>
      </w:r>
      <w:r w:rsidRPr="00A272CE">
        <w:rPr>
          <w:rFonts w:cstheme="minorHAnsi"/>
        </w:rPr>
        <w:t>De totale jaarlijkse kapitaallasten met ingang van 2023 bedragen €992.000.</w:t>
      </w:r>
    </w:p>
    <w:p w14:paraId="438DB493" w14:textId="09CFAF58" w:rsidR="00A16B69" w:rsidRDefault="00A272CE" w:rsidP="00A16B69">
      <w:pPr>
        <w:rPr>
          <w:rFonts w:cstheme="minorHAnsi"/>
        </w:rPr>
      </w:pPr>
      <w:r w:rsidRPr="00A272CE">
        <w:rPr>
          <w:rFonts w:cstheme="minorHAnsi"/>
        </w:rPr>
        <w:t>Het afwaarderen van de ingebrachte gronden wordt ten laste gebracht van de reserve mobiliteit. Met ingang van 1 januari 2020 bedraagt het saldo van deze reserve dan € 4.927.732.</w:t>
      </w:r>
      <w:r w:rsidR="00A16B69">
        <w:rPr>
          <w:rFonts w:cstheme="minorHAnsi"/>
        </w:rPr>
        <w:br/>
      </w:r>
      <w:r w:rsidRPr="00A272CE">
        <w:rPr>
          <w:rFonts w:cstheme="minorHAnsi"/>
        </w:rPr>
        <w:t>Ter (gedeeltelijke) dekking van de kapitaallasten wordt een geblokkeerde reserve gevormd. Hierin wordt het restant gestort van de reserve mobiliteit (€ 4.927.732) en een bedrag van € 4,7 mln vanuit de Algemene Reserve.</w:t>
      </w:r>
    </w:p>
    <w:p w14:paraId="70E9B82D" w14:textId="045FCC99" w:rsidR="00A272CE" w:rsidRPr="00A272CE" w:rsidRDefault="00A272CE" w:rsidP="005D53DC">
      <w:pPr>
        <w:rPr>
          <w:rFonts w:cstheme="minorHAnsi"/>
        </w:rPr>
      </w:pPr>
      <w:r w:rsidRPr="00A272CE">
        <w:rPr>
          <w:rFonts w:cstheme="minorHAnsi"/>
        </w:rPr>
        <w:t>De dekking van de kapitaallasten (met ingang van 2023) is dan als volgt:</w:t>
      </w:r>
      <w:r>
        <w:rPr>
          <w:rFonts w:cstheme="minorHAnsi"/>
        </w:rPr>
        <w:br/>
      </w:r>
      <w:r w:rsidRPr="00A272CE">
        <w:rPr>
          <w:rFonts w:cstheme="minorHAnsi"/>
        </w:rPr>
        <w:t>- Een bedrag van € 188.000 als gevolg van een verhoging van de OZB-opbrengst</w:t>
      </w:r>
      <w:r>
        <w:rPr>
          <w:rFonts w:cstheme="minorHAnsi"/>
        </w:rPr>
        <w:br/>
      </w:r>
      <w:r w:rsidRPr="00A272CE">
        <w:rPr>
          <w:rFonts w:cstheme="minorHAnsi"/>
        </w:rPr>
        <w:t>- Jaarlijkse onttrekking ten laste van de geblokkeerde reserve voor een bedrag van € 240.000</w:t>
      </w:r>
      <w:r>
        <w:rPr>
          <w:rFonts w:cstheme="minorHAnsi"/>
        </w:rPr>
        <w:br/>
      </w:r>
      <w:r w:rsidRPr="00A272CE">
        <w:rPr>
          <w:rFonts w:cstheme="minorHAnsi"/>
        </w:rPr>
        <w:t>- Met ingang van 2023 een jaarlijkse kapitaallast in de begroting van € 564.000</w:t>
      </w:r>
    </w:p>
    <w:p w14:paraId="5FEC8497" w14:textId="77777777" w:rsidR="00047EDC" w:rsidRDefault="00047EDC" w:rsidP="00047EDC">
      <w:pPr>
        <w:spacing w:after="0"/>
        <w:rPr>
          <w:bCs/>
        </w:rPr>
      </w:pPr>
    </w:p>
    <w:p w14:paraId="5B238026" w14:textId="49EC3F3A" w:rsidR="00120F98" w:rsidRPr="00120F98" w:rsidRDefault="00231C1F" w:rsidP="00120F98">
      <w:pPr>
        <w:spacing w:after="0" w:line="284" w:lineRule="atLeast"/>
      </w:pPr>
      <w:r w:rsidRPr="00120F98">
        <w:rPr>
          <w:rFonts w:cstheme="minorHAnsi"/>
        </w:rPr>
        <w:t xml:space="preserve">De zitting van de Raad van State is uitgesteld door de corona crisis en heeft een jaar na oorspronkelijke planning plaatsgevonden (20 en 21 januari jl.).  </w:t>
      </w:r>
      <w:r w:rsidR="00120F98">
        <w:rPr>
          <w:rFonts w:cstheme="minorHAnsi"/>
        </w:rPr>
        <w:t>Zoals in de raadinformatiebrief op 8 december j.l. is gemeld heeft d</w:t>
      </w:r>
      <w:r w:rsidR="00120F98" w:rsidRPr="00120F98">
        <w:rPr>
          <w:rFonts w:cstheme="minorHAnsi"/>
        </w:rPr>
        <w:t>eze</w:t>
      </w:r>
      <w:r w:rsidR="00120F98" w:rsidRPr="00120F98">
        <w:t xml:space="preserve"> vertraging</w:t>
      </w:r>
      <w:r w:rsidR="00120F98">
        <w:t xml:space="preserve"> </w:t>
      </w:r>
      <w:r w:rsidR="00120F98" w:rsidRPr="00120F98">
        <w:t>financiële gevolgen</w:t>
      </w:r>
      <w:r w:rsidR="00120F98">
        <w:t>.</w:t>
      </w:r>
    </w:p>
    <w:p w14:paraId="795BC2A6" w14:textId="77777777" w:rsidR="00120F98" w:rsidRDefault="00120F98" w:rsidP="00120F98">
      <w:pPr>
        <w:pStyle w:val="Lijstalinea"/>
        <w:numPr>
          <w:ilvl w:val="0"/>
          <w:numId w:val="9"/>
        </w:numPr>
        <w:spacing w:after="0" w:line="284" w:lineRule="atLeast"/>
      </w:pPr>
      <w:r>
        <w:t xml:space="preserve">€ 3,6 miljoen als compensatie voor de opgelopen vertraging (hiermee worden de kosten gedekt voor het aanhouden van de afgeslankte uitvoeringsorganisatie en het uitwerken van optimalisaties). </w:t>
      </w:r>
    </w:p>
    <w:p w14:paraId="504752B7" w14:textId="07427867" w:rsidR="00120F98" w:rsidRDefault="00120F98" w:rsidP="00120F98">
      <w:pPr>
        <w:pStyle w:val="Lijstalinea"/>
        <w:numPr>
          <w:ilvl w:val="0"/>
          <w:numId w:val="9"/>
        </w:numPr>
        <w:spacing w:after="0" w:line="284" w:lineRule="atLeast"/>
      </w:pPr>
      <w:r>
        <w:t xml:space="preserve">€ 1 miljoen voor extra indexering over de aanneemsom gedurende een periode van 1 jaar. </w:t>
      </w:r>
    </w:p>
    <w:p w14:paraId="191CF9BB" w14:textId="0F526CD0" w:rsidR="00231C1F" w:rsidRPr="00DA34B4" w:rsidRDefault="005D53DC" w:rsidP="00231C1F">
      <w:pPr>
        <w:pStyle w:val="FormFuturaStandaard"/>
        <w:jc w:val="both"/>
        <w:rPr>
          <w:rFonts w:asciiTheme="minorHAnsi" w:hAnsiTheme="minorHAnsi" w:cstheme="minorHAnsi"/>
          <w:b w:val="0"/>
          <w:bCs w:val="0"/>
        </w:rPr>
      </w:pPr>
      <w:r>
        <w:rPr>
          <w:rFonts w:asciiTheme="minorHAnsi" w:hAnsiTheme="minorHAnsi" w:cstheme="minorHAnsi"/>
          <w:b w:val="0"/>
          <w:bCs w:val="0"/>
        </w:rPr>
        <w:br/>
      </w:r>
      <w:r w:rsidR="00231C1F" w:rsidRPr="00DA34B4">
        <w:rPr>
          <w:rFonts w:asciiTheme="minorHAnsi" w:hAnsiTheme="minorHAnsi" w:cstheme="minorHAnsi"/>
          <w:b w:val="0"/>
          <w:bCs w:val="0"/>
        </w:rPr>
        <w:t xml:space="preserve">Verwacht wordt dat </w:t>
      </w:r>
      <w:r w:rsidR="00F77D5C">
        <w:rPr>
          <w:rFonts w:asciiTheme="minorHAnsi" w:hAnsiTheme="minorHAnsi" w:cstheme="minorHAnsi"/>
          <w:b w:val="0"/>
          <w:bCs w:val="0"/>
        </w:rPr>
        <w:t xml:space="preserve">half april </w:t>
      </w:r>
      <w:r w:rsidR="00231C1F" w:rsidRPr="00DA34B4">
        <w:rPr>
          <w:rFonts w:asciiTheme="minorHAnsi" w:hAnsiTheme="minorHAnsi" w:cstheme="minorHAnsi"/>
          <w:b w:val="0"/>
          <w:bCs w:val="0"/>
        </w:rPr>
        <w:t xml:space="preserve">a.s. </w:t>
      </w:r>
      <w:r w:rsidR="00F77D5C">
        <w:rPr>
          <w:rFonts w:asciiTheme="minorHAnsi" w:hAnsiTheme="minorHAnsi" w:cstheme="minorHAnsi"/>
          <w:b w:val="0"/>
          <w:bCs w:val="0"/>
        </w:rPr>
        <w:t>een</w:t>
      </w:r>
      <w:r w:rsidR="00231C1F" w:rsidRPr="00DA34B4">
        <w:rPr>
          <w:rFonts w:asciiTheme="minorHAnsi" w:hAnsiTheme="minorHAnsi" w:cstheme="minorHAnsi"/>
          <w:b w:val="0"/>
          <w:bCs w:val="0"/>
        </w:rPr>
        <w:t xml:space="preserve"> </w:t>
      </w:r>
      <w:r w:rsidR="000B63B3">
        <w:rPr>
          <w:rFonts w:asciiTheme="minorHAnsi" w:hAnsiTheme="minorHAnsi" w:cstheme="minorHAnsi"/>
          <w:b w:val="0"/>
          <w:bCs w:val="0"/>
        </w:rPr>
        <w:t>(</w:t>
      </w:r>
      <w:r w:rsidR="00231C1F" w:rsidRPr="00DA34B4">
        <w:rPr>
          <w:rFonts w:asciiTheme="minorHAnsi" w:hAnsiTheme="minorHAnsi" w:cstheme="minorHAnsi"/>
          <w:b w:val="0"/>
          <w:bCs w:val="0"/>
        </w:rPr>
        <w:t>tussen</w:t>
      </w:r>
      <w:r w:rsidR="000B63B3">
        <w:rPr>
          <w:rFonts w:asciiTheme="minorHAnsi" w:hAnsiTheme="minorHAnsi" w:cstheme="minorHAnsi"/>
          <w:b w:val="0"/>
          <w:bCs w:val="0"/>
        </w:rPr>
        <w:t>)</w:t>
      </w:r>
      <w:r w:rsidR="00231C1F" w:rsidRPr="00DA34B4">
        <w:rPr>
          <w:rFonts w:asciiTheme="minorHAnsi" w:hAnsiTheme="minorHAnsi" w:cstheme="minorHAnsi"/>
          <w:b w:val="0"/>
          <w:bCs w:val="0"/>
        </w:rPr>
        <w:t xml:space="preserve">uitspraak komt. </w:t>
      </w:r>
      <w:r w:rsidR="00F77D5C">
        <w:rPr>
          <w:rFonts w:asciiTheme="minorHAnsi" w:hAnsiTheme="minorHAnsi" w:cstheme="minorHAnsi"/>
          <w:b w:val="0"/>
          <w:bCs w:val="0"/>
        </w:rPr>
        <w:t>Op dit moment kunnen wij de</w:t>
      </w:r>
      <w:r w:rsidR="007F180C">
        <w:rPr>
          <w:rFonts w:asciiTheme="minorHAnsi" w:hAnsiTheme="minorHAnsi" w:cstheme="minorHAnsi"/>
          <w:b w:val="0"/>
          <w:bCs w:val="0"/>
        </w:rPr>
        <w:t xml:space="preserve"> </w:t>
      </w:r>
      <w:r w:rsidR="00F77D5C">
        <w:rPr>
          <w:rFonts w:asciiTheme="minorHAnsi" w:hAnsiTheme="minorHAnsi" w:cstheme="minorHAnsi"/>
          <w:b w:val="0"/>
          <w:bCs w:val="0"/>
        </w:rPr>
        <w:t xml:space="preserve"> financiële gevolgen die </w:t>
      </w:r>
      <w:r w:rsidR="007F180C">
        <w:rPr>
          <w:rFonts w:asciiTheme="minorHAnsi" w:hAnsiTheme="minorHAnsi" w:cstheme="minorHAnsi"/>
          <w:b w:val="0"/>
          <w:bCs w:val="0"/>
        </w:rPr>
        <w:t>deze</w:t>
      </w:r>
      <w:r w:rsidR="00F77D5C">
        <w:rPr>
          <w:rFonts w:asciiTheme="minorHAnsi" w:hAnsiTheme="minorHAnsi" w:cstheme="minorHAnsi"/>
          <w:b w:val="0"/>
          <w:bCs w:val="0"/>
        </w:rPr>
        <w:t xml:space="preserve"> uitspraak met zich mee kan brengen niet overzien. </w:t>
      </w:r>
    </w:p>
    <w:p w14:paraId="2670C747" w14:textId="77777777" w:rsidR="00A94B32" w:rsidRPr="00A94B32" w:rsidRDefault="00A94B32" w:rsidP="00D67DFF">
      <w:pPr>
        <w:spacing w:after="0"/>
        <w:rPr>
          <w:b/>
        </w:rPr>
      </w:pPr>
    </w:p>
    <w:p w14:paraId="4F99A797" w14:textId="77777777" w:rsidR="00225CE1" w:rsidRDefault="00225CE1" w:rsidP="00225CE1">
      <w:pPr>
        <w:spacing w:after="0"/>
        <w:rPr>
          <w:b/>
        </w:rPr>
      </w:pPr>
      <w:r w:rsidRPr="004712A5">
        <w:rPr>
          <w:b/>
        </w:rPr>
        <w:t>Organisatie</w:t>
      </w:r>
    </w:p>
    <w:p w14:paraId="54BF198E" w14:textId="77777777" w:rsidR="005B7D89" w:rsidRDefault="005B7D89" w:rsidP="00225CE1">
      <w:pPr>
        <w:spacing w:after="0"/>
        <w:rPr>
          <w:bCs/>
        </w:rPr>
      </w:pPr>
      <w:r w:rsidRPr="005B7D89">
        <w:rPr>
          <w:bCs/>
        </w:rPr>
        <w:t xml:space="preserve">De projectorganisatie valt onder de verantwoordelijkheid van de Provincie Noord Brabant. </w:t>
      </w:r>
      <w:r w:rsidR="00EB435A">
        <w:rPr>
          <w:bCs/>
        </w:rPr>
        <w:t>De gemeente heeft</w:t>
      </w:r>
      <w:r w:rsidRPr="005B7D89">
        <w:rPr>
          <w:bCs/>
        </w:rPr>
        <w:t xml:space="preserve"> een toetsende</w:t>
      </w:r>
      <w:r w:rsidR="00EB435A">
        <w:rPr>
          <w:bCs/>
        </w:rPr>
        <w:t xml:space="preserve"> en vergunningverlenende</w:t>
      </w:r>
      <w:r w:rsidRPr="005B7D89">
        <w:rPr>
          <w:bCs/>
        </w:rPr>
        <w:t xml:space="preserve"> rol.</w:t>
      </w:r>
      <w:r w:rsidR="00854217">
        <w:rPr>
          <w:bCs/>
        </w:rPr>
        <w:t xml:space="preserve"> De aannemer heeft inmid</w:t>
      </w:r>
      <w:r w:rsidR="00C060B2">
        <w:rPr>
          <w:bCs/>
        </w:rPr>
        <w:t>dels het</w:t>
      </w:r>
      <w:r w:rsidR="0082281F">
        <w:rPr>
          <w:bCs/>
        </w:rPr>
        <w:t xml:space="preserve"> uitvoerings</w:t>
      </w:r>
      <w:r w:rsidR="00C060B2">
        <w:rPr>
          <w:bCs/>
        </w:rPr>
        <w:t>ontwerp afgerond. Op dit moment worden deze documenten door de provincie getoetst.</w:t>
      </w:r>
    </w:p>
    <w:p w14:paraId="42444449" w14:textId="77777777" w:rsidR="00C060B2" w:rsidRDefault="00C060B2" w:rsidP="00225CE1">
      <w:pPr>
        <w:spacing w:after="0"/>
        <w:rPr>
          <w:bCs/>
        </w:rPr>
      </w:pPr>
    </w:p>
    <w:p w14:paraId="4FFC8D58" w14:textId="77777777" w:rsidR="00A35E98" w:rsidRDefault="00A35E98" w:rsidP="00BB04F5">
      <w:pPr>
        <w:spacing w:after="0"/>
        <w:rPr>
          <w:b/>
        </w:rPr>
      </w:pPr>
      <w:r>
        <w:rPr>
          <w:b/>
        </w:rPr>
        <w:t>Informatie</w:t>
      </w:r>
    </w:p>
    <w:p w14:paraId="26C7473B" w14:textId="77777777" w:rsidR="00EB435A" w:rsidRDefault="00047EDC" w:rsidP="00BB04F5">
      <w:pPr>
        <w:spacing w:after="0"/>
        <w:rPr>
          <w:bCs/>
        </w:rPr>
      </w:pPr>
      <w:r>
        <w:rPr>
          <w:bCs/>
        </w:rPr>
        <w:t>I</w:t>
      </w:r>
      <w:r w:rsidR="00EB435A" w:rsidRPr="00EB435A">
        <w:rPr>
          <w:bCs/>
        </w:rPr>
        <w:t xml:space="preserve">nformatie wordt door de provincie gedeeld met de risicodragende partijen en relevante stakeholders. Hiervoor zijn diverse bestuurlijke en ambtelijke overleggen </w:t>
      </w:r>
      <w:r w:rsidR="00345DF4">
        <w:rPr>
          <w:bCs/>
        </w:rPr>
        <w:t xml:space="preserve">geïnitieerd. </w:t>
      </w:r>
    </w:p>
    <w:p w14:paraId="4604693E" w14:textId="77777777" w:rsidR="00922E47" w:rsidRDefault="00922E47" w:rsidP="00D34315">
      <w:pPr>
        <w:spacing w:after="0"/>
      </w:pPr>
    </w:p>
    <w:p w14:paraId="32463BF4" w14:textId="35ACCE7A" w:rsidR="00D34315" w:rsidRDefault="00D34315" w:rsidP="00D34315">
      <w:pPr>
        <w:spacing w:after="0"/>
      </w:pPr>
      <w:r>
        <w:t>Het project wordt door diverse externe partijen kritisch gevolgd. Dit zijn stichtingen (</w:t>
      </w:r>
      <w:r w:rsidR="00047EDC">
        <w:t xml:space="preserve"> waaronder </w:t>
      </w:r>
      <w:r>
        <w:t xml:space="preserve">“Van GOL naar Beter”, “Federatie Behoudt de Langstraatspoorbruggen”) en personen. Gedurende de </w:t>
      </w:r>
      <w:r>
        <w:lastRenderedPageBreak/>
        <w:t xml:space="preserve">voorbereiding van het project zijn er </w:t>
      </w:r>
      <w:r w:rsidR="00F77D5C">
        <w:t xml:space="preserve">zienswijzen, </w:t>
      </w:r>
      <w:r>
        <w:t xml:space="preserve">bezwaren en </w:t>
      </w:r>
      <w:r w:rsidR="00F77D5C">
        <w:t>beroep ingesteld</w:t>
      </w:r>
      <w:r>
        <w:t>. Het</w:t>
      </w:r>
      <w:r w:rsidR="00F77D5C">
        <w:t xml:space="preserve"> beroep tegen</w:t>
      </w:r>
      <w:r>
        <w:t xml:space="preserve"> het provinciaal inpassingsplan </w:t>
      </w:r>
      <w:r w:rsidR="00F77D5C">
        <w:t xml:space="preserve">en de daarmee gecoördineerde vergunningen wordt </w:t>
      </w:r>
      <w:r>
        <w:t>door</w:t>
      </w:r>
      <w:r w:rsidR="00047EDC">
        <w:t xml:space="preserve"> de Raad van State behandeld. </w:t>
      </w:r>
      <w:r>
        <w:t xml:space="preserve"> </w:t>
      </w:r>
    </w:p>
    <w:p w14:paraId="4B76BD9B" w14:textId="77777777" w:rsidR="00D34315" w:rsidRDefault="00D34315" w:rsidP="00BB04F5">
      <w:pPr>
        <w:spacing w:after="0"/>
        <w:rPr>
          <w:bCs/>
        </w:rPr>
      </w:pPr>
    </w:p>
    <w:p w14:paraId="2554C577" w14:textId="77777777" w:rsidR="00922E47" w:rsidRPr="004712A5" w:rsidRDefault="00922E47" w:rsidP="00922E47">
      <w:pPr>
        <w:spacing w:after="0"/>
        <w:rPr>
          <w:b/>
        </w:rPr>
      </w:pPr>
      <w:r>
        <w:rPr>
          <w:b/>
        </w:rPr>
        <w:t>Tijd</w:t>
      </w:r>
    </w:p>
    <w:p w14:paraId="40283E1F" w14:textId="77777777" w:rsidR="00D90F0E" w:rsidRDefault="00922E47" w:rsidP="00922E47">
      <w:pPr>
        <w:spacing w:after="0"/>
      </w:pPr>
      <w:r>
        <w:t xml:space="preserve">De </w:t>
      </w:r>
      <w:r w:rsidR="0082281F">
        <w:t>start van de realisatie is met een jaar vertraagd.</w:t>
      </w:r>
      <w:r>
        <w:t xml:space="preserve"> </w:t>
      </w:r>
    </w:p>
    <w:p w14:paraId="610363D9" w14:textId="658FBF16" w:rsidR="00047EDC" w:rsidRDefault="00922E47">
      <w:pPr>
        <w:spacing w:after="0"/>
      </w:pPr>
      <w:r>
        <w:t xml:space="preserve">De afhandeling van </w:t>
      </w:r>
      <w:r w:rsidR="00F77D5C">
        <w:t>de ingediende beroepen</w:t>
      </w:r>
      <w:r>
        <w:t xml:space="preserve"> heeft vertraging</w:t>
      </w:r>
      <w:r w:rsidR="00F77D5C">
        <w:t xml:space="preserve"> (zie bovenstaand) </w:t>
      </w:r>
      <w:r>
        <w:t xml:space="preserve">. </w:t>
      </w:r>
    </w:p>
    <w:p w14:paraId="5A1A66AE" w14:textId="77777777" w:rsidR="00922E47" w:rsidRDefault="00922E47" w:rsidP="00922E47">
      <w:pPr>
        <w:spacing w:after="0"/>
      </w:pPr>
      <w:r>
        <w:t>Op dit moment wordt door de provincie, samen met de aannemerscombinatie onderzocht wat dit beteken</w:t>
      </w:r>
      <w:r w:rsidR="00AD56FD">
        <w:t>t</w:t>
      </w:r>
      <w:r>
        <w:t xml:space="preserve"> voor de planning</w:t>
      </w:r>
    </w:p>
    <w:p w14:paraId="41E1FBCD" w14:textId="77777777" w:rsidR="00EB435A" w:rsidRPr="00A35E98" w:rsidRDefault="00EB435A" w:rsidP="00BB04F5">
      <w:pPr>
        <w:spacing w:after="0"/>
        <w:rPr>
          <w:b/>
        </w:rPr>
      </w:pPr>
    </w:p>
    <w:p w14:paraId="1585B21B" w14:textId="77777777" w:rsidR="00225CE1" w:rsidRDefault="00225CE1" w:rsidP="00225CE1">
      <w:pPr>
        <w:spacing w:after="0"/>
        <w:rPr>
          <w:b/>
        </w:rPr>
      </w:pPr>
      <w:r>
        <w:rPr>
          <w:b/>
        </w:rPr>
        <w:t>Communicatie (resultaten, activiteiten)</w:t>
      </w:r>
    </w:p>
    <w:p w14:paraId="546B6CE1" w14:textId="6CA52929" w:rsidR="00922E47" w:rsidRPr="00BB04F5" w:rsidRDefault="00922E47" w:rsidP="00B95A6C">
      <w:pPr>
        <w:spacing w:after="0"/>
        <w:rPr>
          <w:b/>
        </w:rPr>
      </w:pPr>
      <w:r>
        <w:t xml:space="preserve">De projectcommunicatie wordt door de provincie gedaan. De uitvoeringscommunicatie door de aannemerscombinatie. Periodiek vindt er een omgevingsoverleg plaats met de risicodragend partijen </w:t>
      </w:r>
      <w:r w:rsidR="00B95A6C">
        <w:t>waarbij team communicatie is aangehaakt.</w:t>
      </w:r>
    </w:p>
    <w:p w14:paraId="383CE900" w14:textId="77777777" w:rsidR="008F5A14" w:rsidRDefault="008F5A14" w:rsidP="002745D0">
      <w:pPr>
        <w:spacing w:after="0"/>
        <w:rPr>
          <w:b/>
        </w:rPr>
      </w:pPr>
    </w:p>
    <w:p w14:paraId="080F89B5" w14:textId="77777777" w:rsidR="007378FF" w:rsidRPr="008E4DAF" w:rsidRDefault="008E4DAF" w:rsidP="007378FF">
      <w:pPr>
        <w:spacing w:after="0"/>
        <w:rPr>
          <w:b/>
        </w:rPr>
      </w:pPr>
      <w:r w:rsidRPr="008E4DAF">
        <w:rPr>
          <w:b/>
        </w:rPr>
        <w:t>Kwaliteit</w:t>
      </w:r>
      <w:r w:rsidR="00965F34">
        <w:rPr>
          <w:b/>
        </w:rPr>
        <w:t xml:space="preserve"> </w:t>
      </w:r>
    </w:p>
    <w:p w14:paraId="57229994" w14:textId="77777777" w:rsidR="003416E7" w:rsidRDefault="00567F84" w:rsidP="00965F34">
      <w:pPr>
        <w:spacing w:after="0"/>
      </w:pPr>
      <w:r>
        <w:t>Door de risicodragende partijen zijn kwaliteitseisen meegegeven. Deze zijn verwerkt in het UAV-GC contract en daarop is de aannemerscombinatie geselecteerd. Op naleving van deze eisen wordt door de Provincie gestuurd en getoetst. Eventuele afwijkingen worden gedeeld met de risicodragende partijen</w:t>
      </w:r>
    </w:p>
    <w:p w14:paraId="656A9EC7" w14:textId="77777777" w:rsidR="00567F84" w:rsidRDefault="00567F84" w:rsidP="00965F34">
      <w:pPr>
        <w:spacing w:after="0"/>
      </w:pPr>
    </w:p>
    <w:p w14:paraId="465A143B" w14:textId="77777777" w:rsidR="00922E47" w:rsidRDefault="00922E47" w:rsidP="00922E47">
      <w:pPr>
        <w:spacing w:after="0"/>
        <w:rPr>
          <w:b/>
        </w:rPr>
      </w:pPr>
      <w:r>
        <w:rPr>
          <w:b/>
        </w:rPr>
        <w:t>Risico’s</w:t>
      </w:r>
    </w:p>
    <w:p w14:paraId="08C6F068" w14:textId="56A2A54E" w:rsidR="0007359C" w:rsidRPr="00D328D7" w:rsidRDefault="00D328D7" w:rsidP="00047EDC">
      <w:pPr>
        <w:pStyle w:val="FormFuturaStandaard"/>
        <w:jc w:val="both"/>
        <w:rPr>
          <w:rFonts w:ascii="Calibri" w:hAnsi="Calibri"/>
          <w:b w:val="0"/>
          <w:bCs w:val="0"/>
          <w:i/>
          <w:iCs/>
        </w:rPr>
      </w:pPr>
      <w:r>
        <w:rPr>
          <w:rFonts w:ascii="Calibri" w:hAnsi="Calibri"/>
          <w:b w:val="0"/>
          <w:bCs w:val="0"/>
        </w:rPr>
        <w:br/>
      </w:r>
      <w:r w:rsidR="0007359C" w:rsidRPr="00D328D7">
        <w:rPr>
          <w:rFonts w:ascii="Calibri" w:hAnsi="Calibri"/>
          <w:b w:val="0"/>
          <w:bCs w:val="0"/>
          <w:i/>
          <w:iCs/>
        </w:rPr>
        <w:t>Beroep:</w:t>
      </w:r>
    </w:p>
    <w:p w14:paraId="53017882" w14:textId="3A948FE6" w:rsidR="00047EDC" w:rsidRPr="00DA34B4" w:rsidRDefault="00F77D5C" w:rsidP="00047EDC">
      <w:pPr>
        <w:pStyle w:val="FormFuturaStandaard"/>
        <w:jc w:val="both"/>
        <w:rPr>
          <w:rFonts w:asciiTheme="minorHAnsi" w:hAnsiTheme="minorHAnsi" w:cstheme="minorHAnsi"/>
          <w:b w:val="0"/>
          <w:bCs w:val="0"/>
        </w:rPr>
      </w:pPr>
      <w:r>
        <w:rPr>
          <w:rFonts w:asciiTheme="minorHAnsi" w:hAnsiTheme="minorHAnsi" w:cstheme="minorHAnsi"/>
          <w:b w:val="0"/>
          <w:bCs w:val="0"/>
        </w:rPr>
        <w:t xml:space="preserve">Het is niet uit te sluiten dat  </w:t>
      </w:r>
      <w:r w:rsidR="00047EDC" w:rsidRPr="00DA34B4">
        <w:rPr>
          <w:rFonts w:asciiTheme="minorHAnsi" w:hAnsiTheme="minorHAnsi" w:cstheme="minorHAnsi"/>
          <w:b w:val="0"/>
          <w:bCs w:val="0"/>
        </w:rPr>
        <w:t xml:space="preserve"> de Raad van State </w:t>
      </w:r>
      <w:r w:rsidR="000B63B3">
        <w:rPr>
          <w:rFonts w:asciiTheme="minorHAnsi" w:hAnsiTheme="minorHAnsi" w:cstheme="minorHAnsi"/>
          <w:b w:val="0"/>
          <w:bCs w:val="0"/>
        </w:rPr>
        <w:t xml:space="preserve">op korte termijn </w:t>
      </w:r>
      <w:r>
        <w:rPr>
          <w:rFonts w:asciiTheme="minorHAnsi" w:hAnsiTheme="minorHAnsi" w:cstheme="minorHAnsi"/>
          <w:b w:val="0"/>
          <w:bCs w:val="0"/>
        </w:rPr>
        <w:t>geen definitieve uitspraak doet dat de betreffende besluiten</w:t>
      </w:r>
      <w:r w:rsidR="000B63B3">
        <w:rPr>
          <w:rFonts w:asciiTheme="minorHAnsi" w:hAnsiTheme="minorHAnsi" w:cstheme="minorHAnsi"/>
          <w:b w:val="0"/>
          <w:bCs w:val="0"/>
        </w:rPr>
        <w:t xml:space="preserve"> (geheel) in stand blijven. </w:t>
      </w:r>
      <w:r>
        <w:rPr>
          <w:rFonts w:asciiTheme="minorHAnsi" w:hAnsiTheme="minorHAnsi" w:cstheme="minorHAnsi"/>
          <w:b w:val="0"/>
          <w:bCs w:val="0"/>
        </w:rPr>
        <w:t xml:space="preserve"> </w:t>
      </w:r>
      <w:r w:rsidR="000B63B3">
        <w:rPr>
          <w:rFonts w:asciiTheme="minorHAnsi" w:hAnsiTheme="minorHAnsi" w:cstheme="minorHAnsi"/>
          <w:b w:val="0"/>
          <w:bCs w:val="0"/>
        </w:rPr>
        <w:t xml:space="preserve">Zodra de uitspraak is ontvangen zal onderzocht </w:t>
      </w:r>
      <w:r w:rsidR="00D11BE0">
        <w:rPr>
          <w:rFonts w:asciiTheme="minorHAnsi" w:hAnsiTheme="minorHAnsi" w:cstheme="minorHAnsi"/>
          <w:b w:val="0"/>
          <w:bCs w:val="0"/>
        </w:rPr>
        <w:t xml:space="preserve">worden </w:t>
      </w:r>
      <w:r w:rsidR="00D90F0E" w:rsidRPr="00DA34B4">
        <w:rPr>
          <w:rFonts w:asciiTheme="minorHAnsi" w:hAnsiTheme="minorHAnsi" w:cstheme="minorHAnsi"/>
          <w:b w:val="0"/>
          <w:bCs w:val="0"/>
        </w:rPr>
        <w:t>wat dit beteken</w:t>
      </w:r>
      <w:r w:rsidR="000B63B3">
        <w:rPr>
          <w:rFonts w:asciiTheme="minorHAnsi" w:hAnsiTheme="minorHAnsi" w:cstheme="minorHAnsi"/>
          <w:b w:val="0"/>
          <w:bCs w:val="0"/>
        </w:rPr>
        <w:t>t</w:t>
      </w:r>
      <w:r w:rsidR="00D90F0E" w:rsidRPr="00DA34B4">
        <w:rPr>
          <w:rFonts w:asciiTheme="minorHAnsi" w:hAnsiTheme="minorHAnsi" w:cstheme="minorHAnsi"/>
          <w:b w:val="0"/>
          <w:bCs w:val="0"/>
        </w:rPr>
        <w:t xml:space="preserve"> voor de planning</w:t>
      </w:r>
      <w:r w:rsidR="00231C1F">
        <w:rPr>
          <w:rFonts w:asciiTheme="minorHAnsi" w:hAnsiTheme="minorHAnsi" w:cstheme="minorHAnsi"/>
          <w:b w:val="0"/>
          <w:bCs w:val="0"/>
        </w:rPr>
        <w:t xml:space="preserve"> en beschikbaar gestelde middelen.</w:t>
      </w:r>
    </w:p>
    <w:p w14:paraId="7A78EBF0" w14:textId="4E31A511" w:rsidR="00C278D6" w:rsidRPr="00B95A6C" w:rsidRDefault="00D328D7" w:rsidP="00C278D6">
      <w:pPr>
        <w:autoSpaceDE w:val="0"/>
        <w:autoSpaceDN w:val="0"/>
        <w:adjustRightInd w:val="0"/>
        <w:spacing w:after="0" w:line="240" w:lineRule="auto"/>
        <w:rPr>
          <w:rFonts w:cstheme="minorHAnsi"/>
        </w:rPr>
      </w:pPr>
      <w:r>
        <w:rPr>
          <w:bCs/>
        </w:rPr>
        <w:br/>
      </w:r>
      <w:r w:rsidR="0007359C" w:rsidRPr="00D328D7">
        <w:rPr>
          <w:bCs/>
          <w:i/>
          <w:iCs/>
        </w:rPr>
        <w:t>S</w:t>
      </w:r>
      <w:r w:rsidR="00567F84" w:rsidRPr="00D328D7">
        <w:rPr>
          <w:bCs/>
          <w:i/>
          <w:iCs/>
        </w:rPr>
        <w:t>tikstof</w:t>
      </w:r>
      <w:r w:rsidR="00307299" w:rsidRPr="00D328D7">
        <w:rPr>
          <w:bCs/>
          <w:i/>
          <w:iCs/>
        </w:rPr>
        <w:t>:</w:t>
      </w:r>
      <w:r w:rsidR="00307299">
        <w:rPr>
          <w:bCs/>
        </w:rPr>
        <w:br/>
      </w:r>
      <w:r w:rsidR="000B63B3">
        <w:rPr>
          <w:rFonts w:cstheme="minorHAnsi"/>
        </w:rPr>
        <w:t xml:space="preserve">Wij achten het aannemelijk dat vanwege </w:t>
      </w:r>
      <w:r w:rsidR="00C278D6" w:rsidRPr="00B95A6C">
        <w:rPr>
          <w:rFonts w:cstheme="minorHAnsi"/>
        </w:rPr>
        <w:t xml:space="preserve">de nieuwe versie van het Aerius-rekenprogramma dat vanaf half oktober 2020 gebruikt moet worden, als een worst-case benadering vanuit de tussenuitspraak in de zaak ViA15 over de 5km-afkapgrens, voor de GOL nieuwe berekeningen </w:t>
      </w:r>
      <w:r w:rsidR="000B63B3">
        <w:rPr>
          <w:rFonts w:cstheme="minorHAnsi"/>
        </w:rPr>
        <w:t xml:space="preserve">noodzakelijk zullen zijn. Deze worden op dit moment gemaakt </w:t>
      </w:r>
      <w:r w:rsidR="00C278D6" w:rsidRPr="00B95A6C">
        <w:rPr>
          <w:rFonts w:cstheme="minorHAnsi"/>
        </w:rPr>
        <w:t xml:space="preserve">. Beide aspecten kunnen leiden tot verhoogde berekende stikstofdepositie en tot extra benodigde maatregelen. </w:t>
      </w:r>
      <w:r w:rsidR="000B63B3">
        <w:rPr>
          <w:rFonts w:cstheme="minorHAnsi"/>
        </w:rPr>
        <w:t>Afhankelijk van de uitspraak van de Raad van State kan dit er toe leiden dat</w:t>
      </w:r>
      <w:r w:rsidR="00C278D6" w:rsidRPr="00B95A6C">
        <w:rPr>
          <w:rFonts w:cstheme="minorHAnsi"/>
        </w:rPr>
        <w:t>:</w:t>
      </w:r>
    </w:p>
    <w:p w14:paraId="0C0058CA" w14:textId="47ACBF38" w:rsidR="00C278D6" w:rsidRPr="00B95A6C" w:rsidRDefault="000B63B3" w:rsidP="006D2946">
      <w:pPr>
        <w:pStyle w:val="Lijstalinea"/>
        <w:numPr>
          <w:ilvl w:val="0"/>
          <w:numId w:val="6"/>
        </w:numPr>
        <w:autoSpaceDE w:val="0"/>
        <w:autoSpaceDN w:val="0"/>
        <w:adjustRightInd w:val="0"/>
        <w:spacing w:after="0" w:line="240" w:lineRule="auto"/>
        <w:rPr>
          <w:rFonts w:cstheme="minorHAnsi"/>
        </w:rPr>
      </w:pPr>
      <w:r>
        <w:rPr>
          <w:rFonts w:cstheme="minorHAnsi"/>
        </w:rPr>
        <w:t>H</w:t>
      </w:r>
      <w:r w:rsidR="00C278D6" w:rsidRPr="00B95A6C">
        <w:rPr>
          <w:rFonts w:cstheme="minorHAnsi"/>
        </w:rPr>
        <w:t xml:space="preserve">et PIP gewijzigd </w:t>
      </w:r>
      <w:r>
        <w:rPr>
          <w:rFonts w:cstheme="minorHAnsi"/>
        </w:rPr>
        <w:t>vastgesteld moet worden door</w:t>
      </w:r>
      <w:r w:rsidR="00C278D6" w:rsidRPr="00B95A6C">
        <w:rPr>
          <w:rFonts w:cstheme="minorHAnsi"/>
        </w:rPr>
        <w:t xml:space="preserve"> Provinciale S</w:t>
      </w:r>
      <w:r w:rsidR="00B95A6C" w:rsidRPr="00B95A6C">
        <w:rPr>
          <w:rFonts w:cstheme="minorHAnsi"/>
        </w:rPr>
        <w:t>t</w:t>
      </w:r>
      <w:r w:rsidR="00C278D6" w:rsidRPr="00B95A6C">
        <w:rPr>
          <w:rFonts w:cstheme="minorHAnsi"/>
        </w:rPr>
        <w:t>aten;</w:t>
      </w:r>
    </w:p>
    <w:p w14:paraId="045B07F1" w14:textId="77777777" w:rsidR="00C278D6" w:rsidRPr="00B95A6C" w:rsidRDefault="00C278D6" w:rsidP="00A64CC2">
      <w:pPr>
        <w:pStyle w:val="Lijstalinea"/>
        <w:numPr>
          <w:ilvl w:val="0"/>
          <w:numId w:val="6"/>
        </w:numPr>
        <w:autoSpaceDE w:val="0"/>
        <w:autoSpaceDN w:val="0"/>
        <w:adjustRightInd w:val="0"/>
        <w:spacing w:after="0" w:line="240" w:lineRule="auto"/>
        <w:rPr>
          <w:rFonts w:ascii="SegoeUI" w:hAnsi="SegoeUI" w:cs="SegoeUI"/>
          <w:sz w:val="20"/>
          <w:szCs w:val="20"/>
        </w:rPr>
      </w:pPr>
      <w:r w:rsidRPr="00B95A6C">
        <w:rPr>
          <w:rFonts w:cstheme="minorHAnsi"/>
        </w:rPr>
        <w:t>De aanvraag en het besluit op de aanvraag Wet natuurbescherming moeten wijzigen. Hiervoor zijn Gedeputeerde Staten bevoegd</w:t>
      </w:r>
      <w:r w:rsidRPr="00B95A6C">
        <w:rPr>
          <w:rFonts w:ascii="SegoeUI" w:hAnsi="SegoeUI" w:cs="SegoeUI"/>
          <w:sz w:val="20"/>
          <w:szCs w:val="20"/>
        </w:rPr>
        <w:t>.</w:t>
      </w:r>
    </w:p>
    <w:p w14:paraId="334C51C3" w14:textId="77777777" w:rsidR="00C278D6" w:rsidRPr="00C278D6" w:rsidRDefault="00C278D6" w:rsidP="00C278D6">
      <w:pPr>
        <w:pStyle w:val="Lijstalinea"/>
        <w:autoSpaceDE w:val="0"/>
        <w:autoSpaceDN w:val="0"/>
        <w:adjustRightInd w:val="0"/>
        <w:spacing w:after="0" w:line="240" w:lineRule="auto"/>
        <w:rPr>
          <w:rFonts w:ascii="SegoeUI" w:hAnsi="SegoeUI" w:cs="SegoeUI"/>
          <w:sz w:val="20"/>
          <w:szCs w:val="20"/>
        </w:rPr>
      </w:pPr>
    </w:p>
    <w:p w14:paraId="45444E59" w14:textId="40F2BAD3" w:rsidR="00D328D7" w:rsidRPr="00D328D7" w:rsidRDefault="00EF06C8" w:rsidP="00EF06C8">
      <w:pPr>
        <w:rPr>
          <w:rFonts w:cstheme="minorHAnsi"/>
        </w:rPr>
      </w:pPr>
      <w:r w:rsidRPr="00D328D7">
        <w:rPr>
          <w:bCs/>
          <w:i/>
          <w:iCs/>
        </w:rPr>
        <w:t>Communicatie:</w:t>
      </w:r>
      <w:r w:rsidR="005D53DC">
        <w:rPr>
          <w:bCs/>
          <w:i/>
          <w:iCs/>
        </w:rPr>
        <w:br/>
      </w:r>
      <w:r w:rsidRPr="00EF06C8">
        <w:rPr>
          <w:rFonts w:cstheme="minorHAnsi"/>
        </w:rPr>
        <w:t xml:space="preserve">Rapportages via allerlei gremia waardoor informatie </w:t>
      </w:r>
      <w:r w:rsidR="00D328D7">
        <w:rPr>
          <w:rFonts w:cstheme="minorHAnsi"/>
        </w:rPr>
        <w:t>niet op tijd of onjuist wordt</w:t>
      </w:r>
      <w:r w:rsidR="00D11BE0">
        <w:rPr>
          <w:rFonts w:cstheme="minorHAnsi"/>
        </w:rPr>
        <w:t xml:space="preserve"> gedeeld.</w:t>
      </w:r>
      <w:r w:rsidR="00D328D7">
        <w:rPr>
          <w:rFonts w:cstheme="minorHAnsi"/>
        </w:rPr>
        <w:br/>
      </w:r>
    </w:p>
    <w:sectPr w:rsidR="00D328D7" w:rsidRPr="00D328D7" w:rsidSect="00566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80000027" w:usb1="0000004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1F01"/>
    <w:multiLevelType w:val="hybridMultilevel"/>
    <w:tmpl w:val="5816B49C"/>
    <w:lvl w:ilvl="0" w:tplc="08E2352C">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E67A1"/>
    <w:multiLevelType w:val="hybridMultilevel"/>
    <w:tmpl w:val="3C8C1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B5CA6"/>
    <w:multiLevelType w:val="hybridMultilevel"/>
    <w:tmpl w:val="434C2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BE6E31"/>
    <w:multiLevelType w:val="hybridMultilevel"/>
    <w:tmpl w:val="47108E60"/>
    <w:lvl w:ilvl="0" w:tplc="011E26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A23AC8"/>
    <w:multiLevelType w:val="hybridMultilevel"/>
    <w:tmpl w:val="644060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027D0D"/>
    <w:multiLevelType w:val="hybridMultilevel"/>
    <w:tmpl w:val="E58CBCB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5A3FFC"/>
    <w:multiLevelType w:val="hybridMultilevel"/>
    <w:tmpl w:val="33663550"/>
    <w:lvl w:ilvl="0" w:tplc="BA3AC34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C05A29"/>
    <w:multiLevelType w:val="hybridMultilevel"/>
    <w:tmpl w:val="20F224B8"/>
    <w:lvl w:ilvl="0" w:tplc="BA3AC34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8F532B"/>
    <w:multiLevelType w:val="hybridMultilevel"/>
    <w:tmpl w:val="4352F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03"/>
    <w:rsid w:val="00017E20"/>
    <w:rsid w:val="0002363B"/>
    <w:rsid w:val="00047EDC"/>
    <w:rsid w:val="000537B0"/>
    <w:rsid w:val="00056A63"/>
    <w:rsid w:val="0007359C"/>
    <w:rsid w:val="00085DDA"/>
    <w:rsid w:val="00096E6F"/>
    <w:rsid w:val="000B63B3"/>
    <w:rsid w:val="000E76CE"/>
    <w:rsid w:val="0010257A"/>
    <w:rsid w:val="00103E05"/>
    <w:rsid w:val="00110FB5"/>
    <w:rsid w:val="00120F98"/>
    <w:rsid w:val="00123D67"/>
    <w:rsid w:val="00131386"/>
    <w:rsid w:val="00133F6F"/>
    <w:rsid w:val="00154957"/>
    <w:rsid w:val="001757CB"/>
    <w:rsid w:val="00185EAB"/>
    <w:rsid w:val="001A268D"/>
    <w:rsid w:val="001A3FE9"/>
    <w:rsid w:val="001C108A"/>
    <w:rsid w:val="001C56CF"/>
    <w:rsid w:val="001D7D41"/>
    <w:rsid w:val="001F2C4E"/>
    <w:rsid w:val="00206CB2"/>
    <w:rsid w:val="00225CE1"/>
    <w:rsid w:val="0023168C"/>
    <w:rsid w:val="00231C1F"/>
    <w:rsid w:val="00234F1B"/>
    <w:rsid w:val="00251323"/>
    <w:rsid w:val="002652B2"/>
    <w:rsid w:val="00267B9D"/>
    <w:rsid w:val="002745D0"/>
    <w:rsid w:val="002C5EEC"/>
    <w:rsid w:val="002D61ED"/>
    <w:rsid w:val="002F4507"/>
    <w:rsid w:val="00307299"/>
    <w:rsid w:val="003247AF"/>
    <w:rsid w:val="003416E7"/>
    <w:rsid w:val="00345DF4"/>
    <w:rsid w:val="003563A3"/>
    <w:rsid w:val="0037597B"/>
    <w:rsid w:val="003A30CF"/>
    <w:rsid w:val="003A665E"/>
    <w:rsid w:val="003C1F01"/>
    <w:rsid w:val="003F25EC"/>
    <w:rsid w:val="004118C3"/>
    <w:rsid w:val="00432D58"/>
    <w:rsid w:val="00446F9C"/>
    <w:rsid w:val="00465CE0"/>
    <w:rsid w:val="004676ED"/>
    <w:rsid w:val="004712A5"/>
    <w:rsid w:val="0048556C"/>
    <w:rsid w:val="004975BE"/>
    <w:rsid w:val="004B359E"/>
    <w:rsid w:val="004D6C66"/>
    <w:rsid w:val="004E33EF"/>
    <w:rsid w:val="005005C8"/>
    <w:rsid w:val="005205C1"/>
    <w:rsid w:val="00524E1F"/>
    <w:rsid w:val="00557553"/>
    <w:rsid w:val="00565D70"/>
    <w:rsid w:val="00566988"/>
    <w:rsid w:val="00567F84"/>
    <w:rsid w:val="0059148A"/>
    <w:rsid w:val="00595658"/>
    <w:rsid w:val="005975B1"/>
    <w:rsid w:val="005B72F7"/>
    <w:rsid w:val="005B7D89"/>
    <w:rsid w:val="005D53DC"/>
    <w:rsid w:val="005E31AF"/>
    <w:rsid w:val="005E379F"/>
    <w:rsid w:val="005F0A7E"/>
    <w:rsid w:val="00605898"/>
    <w:rsid w:val="0062437F"/>
    <w:rsid w:val="00641F5E"/>
    <w:rsid w:val="00642FDB"/>
    <w:rsid w:val="00652628"/>
    <w:rsid w:val="006671A5"/>
    <w:rsid w:val="00671D06"/>
    <w:rsid w:val="00684781"/>
    <w:rsid w:val="00685A36"/>
    <w:rsid w:val="006A144E"/>
    <w:rsid w:val="006A58E9"/>
    <w:rsid w:val="00703F21"/>
    <w:rsid w:val="00713956"/>
    <w:rsid w:val="007313E8"/>
    <w:rsid w:val="007378FF"/>
    <w:rsid w:val="00754FB5"/>
    <w:rsid w:val="007745D6"/>
    <w:rsid w:val="007779A1"/>
    <w:rsid w:val="00777B96"/>
    <w:rsid w:val="00793000"/>
    <w:rsid w:val="007C7094"/>
    <w:rsid w:val="007E39CA"/>
    <w:rsid w:val="007F180C"/>
    <w:rsid w:val="007F6F25"/>
    <w:rsid w:val="0082281F"/>
    <w:rsid w:val="00854217"/>
    <w:rsid w:val="00865DC4"/>
    <w:rsid w:val="008C3849"/>
    <w:rsid w:val="008E4DAF"/>
    <w:rsid w:val="008F4CDB"/>
    <w:rsid w:val="008F5A14"/>
    <w:rsid w:val="008F7BB6"/>
    <w:rsid w:val="00922E47"/>
    <w:rsid w:val="00925479"/>
    <w:rsid w:val="00965F34"/>
    <w:rsid w:val="00980F6E"/>
    <w:rsid w:val="009B1E65"/>
    <w:rsid w:val="009C2092"/>
    <w:rsid w:val="009E18B9"/>
    <w:rsid w:val="009F3516"/>
    <w:rsid w:val="00A048D8"/>
    <w:rsid w:val="00A16B69"/>
    <w:rsid w:val="00A21CF2"/>
    <w:rsid w:val="00A272CE"/>
    <w:rsid w:val="00A3336C"/>
    <w:rsid w:val="00A34B83"/>
    <w:rsid w:val="00A35E98"/>
    <w:rsid w:val="00A43383"/>
    <w:rsid w:val="00A444F3"/>
    <w:rsid w:val="00A74FFE"/>
    <w:rsid w:val="00A94B32"/>
    <w:rsid w:val="00A95E23"/>
    <w:rsid w:val="00AC2694"/>
    <w:rsid w:val="00AD372E"/>
    <w:rsid w:val="00AD56FD"/>
    <w:rsid w:val="00AD75FD"/>
    <w:rsid w:val="00AF6403"/>
    <w:rsid w:val="00B13D33"/>
    <w:rsid w:val="00B32564"/>
    <w:rsid w:val="00B34265"/>
    <w:rsid w:val="00B40A24"/>
    <w:rsid w:val="00B61487"/>
    <w:rsid w:val="00B71DBA"/>
    <w:rsid w:val="00B75243"/>
    <w:rsid w:val="00B84295"/>
    <w:rsid w:val="00B95A6C"/>
    <w:rsid w:val="00BB01E1"/>
    <w:rsid w:val="00BB04F5"/>
    <w:rsid w:val="00BE04AF"/>
    <w:rsid w:val="00BF21DE"/>
    <w:rsid w:val="00BF403E"/>
    <w:rsid w:val="00C060B2"/>
    <w:rsid w:val="00C278D6"/>
    <w:rsid w:val="00C32FF7"/>
    <w:rsid w:val="00C336EA"/>
    <w:rsid w:val="00C4489D"/>
    <w:rsid w:val="00C52DDD"/>
    <w:rsid w:val="00C53792"/>
    <w:rsid w:val="00C5483A"/>
    <w:rsid w:val="00C84CC2"/>
    <w:rsid w:val="00C84E3D"/>
    <w:rsid w:val="00C90E20"/>
    <w:rsid w:val="00CD2684"/>
    <w:rsid w:val="00CE024C"/>
    <w:rsid w:val="00CF7566"/>
    <w:rsid w:val="00D052E3"/>
    <w:rsid w:val="00D11BE0"/>
    <w:rsid w:val="00D328D7"/>
    <w:rsid w:val="00D34315"/>
    <w:rsid w:val="00D40125"/>
    <w:rsid w:val="00D43C04"/>
    <w:rsid w:val="00D448DC"/>
    <w:rsid w:val="00D44C53"/>
    <w:rsid w:val="00D67DFF"/>
    <w:rsid w:val="00D75514"/>
    <w:rsid w:val="00D765D6"/>
    <w:rsid w:val="00D84B83"/>
    <w:rsid w:val="00D90F0E"/>
    <w:rsid w:val="00D94F49"/>
    <w:rsid w:val="00D95EE2"/>
    <w:rsid w:val="00DA34B4"/>
    <w:rsid w:val="00DA4BA8"/>
    <w:rsid w:val="00DD1757"/>
    <w:rsid w:val="00DD2124"/>
    <w:rsid w:val="00DF1E80"/>
    <w:rsid w:val="00E04E18"/>
    <w:rsid w:val="00E135F7"/>
    <w:rsid w:val="00E22331"/>
    <w:rsid w:val="00E43C65"/>
    <w:rsid w:val="00E95BF4"/>
    <w:rsid w:val="00EB435A"/>
    <w:rsid w:val="00EC245A"/>
    <w:rsid w:val="00EC3EC5"/>
    <w:rsid w:val="00EE7874"/>
    <w:rsid w:val="00EF06C8"/>
    <w:rsid w:val="00EF3004"/>
    <w:rsid w:val="00F0799F"/>
    <w:rsid w:val="00F77D5C"/>
    <w:rsid w:val="00F84D47"/>
    <w:rsid w:val="00FC4DE6"/>
    <w:rsid w:val="00FF7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DFC5"/>
  <w15:chartTrackingRefBased/>
  <w15:docId w15:val="{13E1D7BC-DA62-4575-B7FB-535B5A9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38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6403"/>
    <w:pPr>
      <w:ind w:left="720"/>
      <w:contextualSpacing/>
    </w:pPr>
  </w:style>
  <w:style w:type="character" w:customStyle="1" w:styleId="FormFuturaStandaardChar">
    <w:name w:val="Form Futura Standaard Char"/>
    <w:basedOn w:val="Standaardalinea-lettertype"/>
    <w:link w:val="FormFuturaStandaard"/>
    <w:locked/>
    <w:rsid w:val="00047EDC"/>
    <w:rPr>
      <w:rFonts w:ascii="Futura Book" w:hAnsi="Futura Book"/>
      <w:b/>
      <w:bCs/>
    </w:rPr>
  </w:style>
  <w:style w:type="paragraph" w:customStyle="1" w:styleId="FormFuturaStandaard">
    <w:name w:val="Form Futura Standaard"/>
    <w:basedOn w:val="Standaard"/>
    <w:link w:val="FormFuturaStandaardChar"/>
    <w:rsid w:val="00047EDC"/>
    <w:pPr>
      <w:spacing w:after="0" w:line="284" w:lineRule="atLeast"/>
    </w:pPr>
    <w:rPr>
      <w:rFonts w:ascii="Futura Book" w:hAnsi="Futura Book"/>
      <w:b/>
      <w:bCs/>
    </w:rPr>
  </w:style>
  <w:style w:type="character" w:styleId="Verwijzingopmerking">
    <w:name w:val="annotation reference"/>
    <w:basedOn w:val="Standaardalinea-lettertype"/>
    <w:uiPriority w:val="99"/>
    <w:semiHidden/>
    <w:unhideWhenUsed/>
    <w:rsid w:val="00D95EE2"/>
    <w:rPr>
      <w:sz w:val="16"/>
      <w:szCs w:val="16"/>
    </w:rPr>
  </w:style>
  <w:style w:type="paragraph" w:styleId="Tekstopmerking">
    <w:name w:val="annotation text"/>
    <w:basedOn w:val="Standaard"/>
    <w:link w:val="TekstopmerkingChar"/>
    <w:uiPriority w:val="99"/>
    <w:semiHidden/>
    <w:unhideWhenUsed/>
    <w:rsid w:val="00D95E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5EE2"/>
    <w:rPr>
      <w:sz w:val="20"/>
      <w:szCs w:val="20"/>
    </w:rPr>
  </w:style>
  <w:style w:type="paragraph" w:styleId="Onderwerpvanopmerking">
    <w:name w:val="annotation subject"/>
    <w:basedOn w:val="Tekstopmerking"/>
    <w:next w:val="Tekstopmerking"/>
    <w:link w:val="OnderwerpvanopmerkingChar"/>
    <w:uiPriority w:val="99"/>
    <w:semiHidden/>
    <w:unhideWhenUsed/>
    <w:rsid w:val="00D95EE2"/>
    <w:rPr>
      <w:b/>
      <w:bCs/>
    </w:rPr>
  </w:style>
  <w:style w:type="character" w:customStyle="1" w:styleId="OnderwerpvanopmerkingChar">
    <w:name w:val="Onderwerp van opmerking Char"/>
    <w:basedOn w:val="TekstopmerkingChar"/>
    <w:link w:val="Onderwerpvanopmerking"/>
    <w:uiPriority w:val="99"/>
    <w:semiHidden/>
    <w:rsid w:val="00D95EE2"/>
    <w:rPr>
      <w:b/>
      <w:bCs/>
      <w:sz w:val="20"/>
      <w:szCs w:val="20"/>
    </w:rPr>
  </w:style>
  <w:style w:type="paragraph" w:styleId="Ballontekst">
    <w:name w:val="Balloon Text"/>
    <w:basedOn w:val="Standaard"/>
    <w:link w:val="BallontekstChar"/>
    <w:uiPriority w:val="99"/>
    <w:semiHidden/>
    <w:unhideWhenUsed/>
    <w:rsid w:val="00D95E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46256">
      <w:bodyDiv w:val="1"/>
      <w:marLeft w:val="0"/>
      <w:marRight w:val="0"/>
      <w:marTop w:val="0"/>
      <w:marBottom w:val="0"/>
      <w:divBdr>
        <w:top w:val="none" w:sz="0" w:space="0" w:color="auto"/>
        <w:left w:val="none" w:sz="0" w:space="0" w:color="auto"/>
        <w:bottom w:val="none" w:sz="0" w:space="0" w:color="auto"/>
        <w:right w:val="none" w:sz="0" w:space="0" w:color="auto"/>
      </w:divBdr>
    </w:div>
    <w:div w:id="250698737">
      <w:bodyDiv w:val="1"/>
      <w:marLeft w:val="0"/>
      <w:marRight w:val="0"/>
      <w:marTop w:val="0"/>
      <w:marBottom w:val="0"/>
      <w:divBdr>
        <w:top w:val="none" w:sz="0" w:space="0" w:color="auto"/>
        <w:left w:val="none" w:sz="0" w:space="0" w:color="auto"/>
        <w:bottom w:val="none" w:sz="0" w:space="0" w:color="auto"/>
        <w:right w:val="none" w:sz="0" w:space="0" w:color="auto"/>
      </w:divBdr>
    </w:div>
    <w:div w:id="254825500">
      <w:bodyDiv w:val="1"/>
      <w:marLeft w:val="0"/>
      <w:marRight w:val="0"/>
      <w:marTop w:val="0"/>
      <w:marBottom w:val="0"/>
      <w:divBdr>
        <w:top w:val="none" w:sz="0" w:space="0" w:color="auto"/>
        <w:left w:val="none" w:sz="0" w:space="0" w:color="auto"/>
        <w:bottom w:val="none" w:sz="0" w:space="0" w:color="auto"/>
        <w:right w:val="none" w:sz="0" w:space="0" w:color="auto"/>
      </w:divBdr>
    </w:div>
    <w:div w:id="495145133">
      <w:bodyDiv w:val="1"/>
      <w:marLeft w:val="0"/>
      <w:marRight w:val="0"/>
      <w:marTop w:val="0"/>
      <w:marBottom w:val="0"/>
      <w:divBdr>
        <w:top w:val="none" w:sz="0" w:space="0" w:color="auto"/>
        <w:left w:val="none" w:sz="0" w:space="0" w:color="auto"/>
        <w:bottom w:val="none" w:sz="0" w:space="0" w:color="auto"/>
        <w:right w:val="none" w:sz="0" w:space="0" w:color="auto"/>
      </w:divBdr>
    </w:div>
    <w:div w:id="1005014021">
      <w:bodyDiv w:val="1"/>
      <w:marLeft w:val="0"/>
      <w:marRight w:val="0"/>
      <w:marTop w:val="0"/>
      <w:marBottom w:val="0"/>
      <w:divBdr>
        <w:top w:val="none" w:sz="0" w:space="0" w:color="auto"/>
        <w:left w:val="none" w:sz="0" w:space="0" w:color="auto"/>
        <w:bottom w:val="none" w:sz="0" w:space="0" w:color="auto"/>
        <w:right w:val="none" w:sz="0" w:space="0" w:color="auto"/>
      </w:divBdr>
    </w:div>
    <w:div w:id="1324117413">
      <w:bodyDiv w:val="1"/>
      <w:marLeft w:val="0"/>
      <w:marRight w:val="0"/>
      <w:marTop w:val="0"/>
      <w:marBottom w:val="0"/>
      <w:divBdr>
        <w:top w:val="none" w:sz="0" w:space="0" w:color="auto"/>
        <w:left w:val="none" w:sz="0" w:space="0" w:color="auto"/>
        <w:bottom w:val="none" w:sz="0" w:space="0" w:color="auto"/>
        <w:right w:val="none" w:sz="0" w:space="0" w:color="auto"/>
      </w:divBdr>
    </w:div>
    <w:div w:id="1570991525">
      <w:bodyDiv w:val="1"/>
      <w:marLeft w:val="0"/>
      <w:marRight w:val="0"/>
      <w:marTop w:val="0"/>
      <w:marBottom w:val="0"/>
      <w:divBdr>
        <w:top w:val="none" w:sz="0" w:space="0" w:color="auto"/>
        <w:left w:val="none" w:sz="0" w:space="0" w:color="auto"/>
        <w:bottom w:val="none" w:sz="0" w:space="0" w:color="auto"/>
        <w:right w:val="none" w:sz="0" w:space="0" w:color="auto"/>
      </w:divBdr>
    </w:div>
    <w:div w:id="19446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bbn adviseurs">
      <a:dk1>
        <a:sysClr val="windowText" lastClr="000000"/>
      </a:dk1>
      <a:lt1>
        <a:sysClr val="window" lastClr="FFFFFF"/>
      </a:lt1>
      <a:dk2>
        <a:srgbClr val="504E4D"/>
      </a:dk2>
      <a:lt2>
        <a:srgbClr val="BFBFBF"/>
      </a:lt2>
      <a:accent1>
        <a:srgbClr val="00206B"/>
      </a:accent1>
      <a:accent2>
        <a:srgbClr val="0071B9"/>
      </a:accent2>
      <a:accent3>
        <a:srgbClr val="288ECA"/>
      </a:accent3>
      <a:accent4>
        <a:srgbClr val="63BEEF"/>
      </a:accent4>
      <a:accent5>
        <a:srgbClr val="E42518"/>
      </a:accent5>
      <a:accent6>
        <a:srgbClr val="F36363"/>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5887</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Heijmerink</dc:creator>
  <cp:keywords/>
  <dc:description/>
  <cp:lastModifiedBy>Tom Bartels</cp:lastModifiedBy>
  <cp:revision>2</cp:revision>
  <cp:lastPrinted>2020-02-10T11:31:00Z</cp:lastPrinted>
  <dcterms:created xsi:type="dcterms:W3CDTF">2021-03-25T07:20:00Z</dcterms:created>
  <dcterms:modified xsi:type="dcterms:W3CDTF">2021-03-25T07:20:00Z</dcterms:modified>
</cp:coreProperties>
</file>